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distribute"/>
        <w:rPr>
          <w:rFonts w:ascii="华文中宋" w:hAnsi="华文中宋" w:eastAsia="华文中宋"/>
          <w:b/>
          <w:color w:val="FF0000"/>
          <w:sz w:val="52"/>
          <w:szCs w:val="52"/>
        </w:rPr>
      </w:pPr>
      <w:bookmarkStart w:id="3" w:name="_GoBack"/>
      <w:bookmarkEnd w:id="3"/>
      <w:bookmarkStart w:id="0" w:name="_Hlk155471848"/>
      <w:r>
        <w:rPr>
          <w:rFonts w:ascii="华文中宋" w:hAnsi="华文中宋" w:eastAsia="华文中宋"/>
          <w:b/>
          <w:color w:val="FF0000"/>
          <w:sz w:val="52"/>
          <w:szCs w:val="52"/>
        </w:rPr>
        <w:t>江苏省高等学校教育</w:t>
      </w:r>
      <w:r>
        <w:rPr>
          <w:rFonts w:hint="eastAsia" w:ascii="华文中宋" w:hAnsi="华文中宋" w:eastAsia="华文中宋"/>
          <w:b/>
          <w:color w:val="FF0000"/>
          <w:sz w:val="52"/>
          <w:szCs w:val="52"/>
        </w:rPr>
        <w:t>信息化</w:t>
      </w:r>
      <w:r>
        <w:rPr>
          <w:rFonts w:ascii="华文中宋" w:hAnsi="华文中宋" w:eastAsia="华文中宋"/>
          <w:b/>
          <w:color w:val="FF0000"/>
          <w:sz w:val="52"/>
          <w:szCs w:val="52"/>
        </w:rPr>
        <w:t>研究会</w:t>
      </w:r>
    </w:p>
    <w:p>
      <w:pPr>
        <w:spacing w:line="300" w:lineRule="auto"/>
        <w:jc w:val="center"/>
        <w:rPr>
          <w:rFonts w:ascii="华文中宋" w:hAnsi="华文中宋" w:eastAsia="华文中宋"/>
          <w:b/>
          <w:color w:val="FF0000"/>
          <w:spacing w:val="-16"/>
          <w:w w:val="85"/>
          <w:sz w:val="52"/>
          <w:szCs w:val="52"/>
        </w:rPr>
      </w:pPr>
      <w:r>
        <w:rPr>
          <w:rFonts w:hint="eastAsia" w:ascii="华文中宋" w:hAnsi="华文中宋" w:eastAsia="华文中宋"/>
          <w:b/>
          <w:color w:val="FF0000"/>
          <w:spacing w:val="-16"/>
          <w:w w:val="85"/>
          <w:sz w:val="52"/>
          <w:szCs w:val="52"/>
        </w:rPr>
        <w:t>江苏省高等教育学会高校成人教育研究委员会</w:t>
      </w:r>
    </w:p>
    <w:bookmarkEnd w:id="0"/>
    <w:p>
      <w:pPr>
        <w:spacing w:line="300" w:lineRule="auto"/>
        <w:jc w:val="center"/>
        <w:rPr>
          <w:rFonts w:ascii="方正粗黑宋简体" w:hAnsi="方正粗黑宋简体" w:eastAsia="方正粗黑宋简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57785</wp:posOffset>
                </wp:positionV>
                <wp:extent cx="5362575" cy="33020"/>
                <wp:effectExtent l="19050" t="19050" r="2857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575" cy="3333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35pt;margin-top:4.55pt;height:2.6pt;width:422.25pt;z-index:251659264;mso-width-relative:page;mso-height-relative:page;" filled="f" stroked="t" coordsize="21600,21600" o:gfxdata="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IzyhNdcAAAAGAQAADwAAAAAAAAABACAAAAA4AAAAZHJz&#10;L2Rvd25yZXYueG1sUEsBAhQAFAAAAAgAh07iQAyHdGHvAQAAwAMAAA4AAAAAAAAAAQAgAAAAPAEA&#10;AGRycy9lMm9Eb2MueG1sUEsFBgAAAAAGAAYAWQEAAJ0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小标宋简体" w:hAnsi="方正粗黑宋简体" w:eastAsia="方正小标宋简体"/>
          <w:sz w:val="36"/>
          <w:szCs w:val="36"/>
        </w:rPr>
      </w:pPr>
      <w:r>
        <w:rPr>
          <w:rFonts w:hint="eastAsia" w:ascii="方正小标宋简体" w:hAnsi="方正粗黑宋简体" w:eastAsia="方正小标宋简体"/>
          <w:sz w:val="36"/>
          <w:szCs w:val="36"/>
        </w:rPr>
        <w:t>关于征集第二批</w:t>
      </w:r>
      <w:bookmarkStart w:id="1" w:name="_Hlk155471777"/>
      <w:r>
        <w:rPr>
          <w:rFonts w:hint="eastAsia" w:ascii="方正小标宋简体" w:hAnsi="方正粗黑宋简体" w:eastAsia="方正小标宋简体"/>
          <w:sz w:val="36"/>
          <w:szCs w:val="36"/>
        </w:rPr>
        <w:t>江苏高等继续教育“一平台两系统”在线课程资源的通知</w:t>
      </w:r>
    </w:p>
    <w:bookmarkEnd w:id="1"/>
    <w:p>
      <w:pPr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各</w:t>
      </w:r>
      <w:r>
        <w:rPr>
          <w:rFonts w:hint="eastAsia" w:ascii="仿宋" w:hAnsi="仿宋" w:eastAsia="仿宋" w:cs="Times New Roman"/>
          <w:sz w:val="28"/>
          <w:szCs w:val="28"/>
        </w:rPr>
        <w:t>有关</w:t>
      </w:r>
      <w:r>
        <w:rPr>
          <w:rFonts w:ascii="仿宋" w:hAnsi="仿宋" w:eastAsia="仿宋" w:cs="Times New Roman"/>
          <w:sz w:val="28"/>
          <w:szCs w:val="28"/>
        </w:rPr>
        <w:t>院校：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为贯彻落实</w:t>
      </w:r>
      <w:r>
        <w:rPr>
          <w:rFonts w:hint="eastAsia" w:ascii="仿宋" w:hAnsi="仿宋" w:eastAsia="仿宋" w:cs="Times New Roman"/>
          <w:sz w:val="28"/>
          <w:szCs w:val="28"/>
        </w:rPr>
        <w:t>《教育部关于推进新时代普通高等学校学历继续教育改革的实施意见》（教职成〔</w:t>
      </w:r>
      <w:r>
        <w:rPr>
          <w:rFonts w:ascii="仿宋" w:hAnsi="仿宋" w:eastAsia="仿宋" w:cs="Times New Roman"/>
          <w:sz w:val="28"/>
          <w:szCs w:val="28"/>
        </w:rPr>
        <w:t>2022〕2号）、</w:t>
      </w:r>
      <w:r>
        <w:rPr>
          <w:rFonts w:hint="eastAsia" w:ascii="仿宋" w:hAnsi="仿宋" w:eastAsia="仿宋" w:cs="Times New Roman"/>
          <w:sz w:val="28"/>
          <w:szCs w:val="28"/>
        </w:rPr>
        <w:t>《省教育厅关于推进新时代高等继续教育综合改革的实施意见》（苏教高〔</w:t>
      </w:r>
      <w:r>
        <w:rPr>
          <w:rFonts w:ascii="仿宋" w:hAnsi="仿宋" w:eastAsia="仿宋" w:cs="Times New Roman"/>
          <w:sz w:val="28"/>
          <w:szCs w:val="28"/>
        </w:rPr>
        <w:t>2022〕9号</w:t>
      </w:r>
      <w:r>
        <w:rPr>
          <w:rFonts w:hint="eastAsia" w:ascii="仿宋" w:hAnsi="仿宋" w:eastAsia="仿宋" w:cs="Times New Roman"/>
          <w:sz w:val="28"/>
          <w:szCs w:val="28"/>
        </w:rPr>
        <w:t>）、《省教育厅关于大力推进高校教学数字化工作的意见》（苏教高〔</w:t>
      </w:r>
      <w:r>
        <w:rPr>
          <w:rFonts w:ascii="仿宋" w:hAnsi="仿宋" w:eastAsia="仿宋" w:cs="Times New Roman"/>
          <w:sz w:val="28"/>
          <w:szCs w:val="28"/>
        </w:rPr>
        <w:t>2023〕1号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  <w:r>
        <w:rPr>
          <w:rFonts w:ascii="仿宋" w:hAnsi="仿宋" w:eastAsia="仿宋" w:cs="Times New Roman"/>
          <w:sz w:val="28"/>
          <w:szCs w:val="28"/>
        </w:rPr>
        <w:t>等文件精神，</w:t>
      </w:r>
      <w:r>
        <w:rPr>
          <w:rFonts w:hint="eastAsia" w:ascii="仿宋" w:hAnsi="仿宋" w:eastAsia="仿宋" w:cs="Times New Roman"/>
          <w:sz w:val="28"/>
          <w:szCs w:val="28"/>
        </w:rPr>
        <w:t>落实</w:t>
      </w:r>
      <w:r>
        <w:rPr>
          <w:rFonts w:ascii="仿宋" w:hAnsi="仿宋" w:eastAsia="仿宋" w:cs="Times New Roman"/>
          <w:sz w:val="28"/>
          <w:szCs w:val="28"/>
        </w:rPr>
        <w:t>国家教育数字化战略行动，</w:t>
      </w:r>
      <w:r>
        <w:rPr>
          <w:rFonts w:hint="eastAsia" w:ascii="仿宋" w:hAnsi="仿宋" w:eastAsia="仿宋" w:cs="Times New Roman"/>
          <w:sz w:val="28"/>
          <w:szCs w:val="28"/>
        </w:rPr>
        <w:t>进一步</w:t>
      </w:r>
      <w:r>
        <w:rPr>
          <w:rFonts w:ascii="仿宋" w:hAnsi="仿宋" w:eastAsia="仿宋" w:cs="Times New Roman"/>
          <w:sz w:val="28"/>
          <w:szCs w:val="28"/>
        </w:rPr>
        <w:t>推进江苏高等继续教育</w:t>
      </w:r>
      <w:r>
        <w:rPr>
          <w:rFonts w:hint="eastAsia" w:ascii="仿宋" w:hAnsi="仿宋" w:eastAsia="仿宋" w:cs="Times New Roman"/>
          <w:sz w:val="28"/>
          <w:szCs w:val="28"/>
        </w:rPr>
        <w:t>规范、有序、</w:t>
      </w:r>
      <w:r>
        <w:rPr>
          <w:rFonts w:ascii="仿宋" w:hAnsi="仿宋" w:eastAsia="仿宋" w:cs="Times New Roman"/>
          <w:sz w:val="28"/>
          <w:szCs w:val="28"/>
        </w:rPr>
        <w:t>高质量发展，受省教育厅委托，江苏省高等学校教育</w:t>
      </w:r>
      <w:r>
        <w:rPr>
          <w:rFonts w:hint="eastAsia" w:ascii="仿宋" w:hAnsi="仿宋" w:eastAsia="仿宋" w:cs="Times New Roman"/>
          <w:sz w:val="28"/>
          <w:szCs w:val="28"/>
        </w:rPr>
        <w:t>信息化</w:t>
      </w:r>
      <w:r>
        <w:rPr>
          <w:rFonts w:ascii="仿宋" w:hAnsi="仿宋" w:eastAsia="仿宋" w:cs="Times New Roman"/>
          <w:sz w:val="28"/>
          <w:szCs w:val="28"/>
        </w:rPr>
        <w:t>研究会</w:t>
      </w:r>
      <w:r>
        <w:rPr>
          <w:rFonts w:hint="eastAsia" w:ascii="仿宋" w:hAnsi="仿宋" w:eastAsia="仿宋" w:cs="Times New Roman"/>
          <w:sz w:val="28"/>
          <w:szCs w:val="28"/>
        </w:rPr>
        <w:t>和江苏省高等教育学会高校成人教育研究委员会自2</w:t>
      </w:r>
      <w:r>
        <w:rPr>
          <w:rFonts w:ascii="仿宋" w:hAnsi="仿宋" w:eastAsia="仿宋" w:cs="Times New Roman"/>
          <w:sz w:val="28"/>
          <w:szCs w:val="28"/>
        </w:rPr>
        <w:t>023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ascii="仿宋" w:hAnsi="仿宋" w:eastAsia="仿宋" w:cs="Times New Roman"/>
          <w:sz w:val="28"/>
          <w:szCs w:val="28"/>
        </w:rPr>
        <w:t>启动</w:t>
      </w:r>
      <w:r>
        <w:rPr>
          <w:rFonts w:hint="eastAsia" w:ascii="仿宋" w:hAnsi="仿宋" w:eastAsia="仿宋" w:cs="Times New Roman"/>
          <w:sz w:val="28"/>
          <w:szCs w:val="28"/>
        </w:rPr>
        <w:t>实施江苏高等继续教育“一平台两系统”建设工程，</w:t>
      </w:r>
      <w:bookmarkStart w:id="2" w:name="_Hlk155858412"/>
      <w:r>
        <w:rPr>
          <w:rFonts w:hint="eastAsia" w:ascii="仿宋" w:hAnsi="仿宋" w:eastAsia="仿宋"/>
          <w:sz w:val="28"/>
          <w:szCs w:val="28"/>
        </w:rPr>
        <w:t>首批4</w:t>
      </w:r>
      <w:r>
        <w:rPr>
          <w:rFonts w:ascii="仿宋" w:hAnsi="仿宋" w:eastAsia="仿宋"/>
          <w:sz w:val="28"/>
          <w:szCs w:val="28"/>
        </w:rPr>
        <w:t>62</w:t>
      </w:r>
      <w:r>
        <w:rPr>
          <w:rFonts w:hint="eastAsia" w:ascii="仿宋" w:hAnsi="仿宋" w:eastAsia="仿宋"/>
          <w:sz w:val="28"/>
          <w:szCs w:val="28"/>
        </w:rPr>
        <w:t>门试运行在线课程资源</w:t>
      </w:r>
      <w:bookmarkEnd w:id="2"/>
      <w:r>
        <w:rPr>
          <w:rFonts w:hint="eastAsia" w:ascii="仿宋" w:hAnsi="仿宋" w:eastAsia="仿宋"/>
          <w:sz w:val="28"/>
          <w:szCs w:val="28"/>
        </w:rPr>
        <w:t>已公布并上线，</w:t>
      </w:r>
      <w:r>
        <w:rPr>
          <w:rFonts w:ascii="仿宋" w:hAnsi="仿宋" w:eastAsia="仿宋" w:cs="Times New Roman"/>
          <w:sz w:val="28"/>
          <w:szCs w:val="28"/>
        </w:rPr>
        <w:t>现面向全</w:t>
      </w:r>
      <w:r>
        <w:rPr>
          <w:rFonts w:hint="eastAsia" w:ascii="仿宋" w:hAnsi="仿宋" w:eastAsia="仿宋" w:cs="Times New Roman"/>
          <w:sz w:val="28"/>
          <w:szCs w:val="28"/>
        </w:rPr>
        <w:t>省高</w:t>
      </w:r>
      <w:r>
        <w:rPr>
          <w:rFonts w:ascii="仿宋" w:hAnsi="仿宋" w:eastAsia="仿宋" w:cs="Times New Roman"/>
          <w:sz w:val="28"/>
          <w:szCs w:val="28"/>
        </w:rPr>
        <w:t>校征集</w:t>
      </w:r>
      <w:r>
        <w:rPr>
          <w:rFonts w:hint="eastAsia" w:ascii="仿宋" w:hAnsi="仿宋" w:eastAsia="仿宋" w:cs="Times New Roman"/>
          <w:sz w:val="28"/>
          <w:szCs w:val="28"/>
        </w:rPr>
        <w:t>第二批</w:t>
      </w:r>
      <w:r>
        <w:rPr>
          <w:rFonts w:ascii="仿宋" w:hAnsi="仿宋" w:eastAsia="仿宋" w:cs="Times New Roman"/>
          <w:sz w:val="28"/>
          <w:szCs w:val="28"/>
        </w:rPr>
        <w:t>江苏高</w:t>
      </w:r>
      <w:r>
        <w:rPr>
          <w:rFonts w:hint="eastAsia" w:ascii="仿宋" w:hAnsi="仿宋" w:eastAsia="仿宋" w:cs="Times New Roman"/>
          <w:sz w:val="28"/>
          <w:szCs w:val="28"/>
        </w:rPr>
        <w:t>等继续教育在线课程资源</w:t>
      </w:r>
      <w:r>
        <w:rPr>
          <w:rFonts w:ascii="仿宋" w:hAnsi="仿宋" w:eastAsia="仿宋" w:cs="Times New Roman"/>
          <w:sz w:val="28"/>
          <w:szCs w:val="28"/>
        </w:rPr>
        <w:t>，有关事宜通知如下：</w:t>
      </w:r>
    </w:p>
    <w:p>
      <w:pPr>
        <w:spacing w:line="360" w:lineRule="auto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</w:t>
      </w:r>
      <w:r>
        <w:rPr>
          <w:rFonts w:ascii="Times New Roman" w:hAnsi="Times New Roman" w:eastAsia="黑体" w:cs="Times New Roman"/>
          <w:sz w:val="28"/>
          <w:szCs w:val="28"/>
        </w:rPr>
        <w:t>、建设</w:t>
      </w:r>
      <w:r>
        <w:rPr>
          <w:rFonts w:hint="eastAsia" w:ascii="Times New Roman" w:hAnsi="Times New Roman" w:eastAsia="黑体" w:cs="Times New Roman"/>
          <w:sz w:val="28"/>
          <w:szCs w:val="28"/>
        </w:rPr>
        <w:t>内容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第二批江苏高等继续教育“一平台两系统”在线课程资源分“链接课程”和“新建课程”两类：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链接课程。各高校择优推荐可用于高等学历继续教育的课程，此类课程已经建设在校园网或其他课程平台上，愿意开放给全省高校共享使用。此类课程资源版权归原商定的所属方所有，择优链接入江苏高等继续教育“一平台两系统”后供各校选择使用。请填写《第二批江苏高等继续教育“一平台两系统”在线课程资源（链接课程）推荐表》（见附件2）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新建课程。此类课程需要在江苏高等继续教育“一平台两系统”重新建设，各高校择优推荐课程资源（包括首批</w:t>
      </w:r>
      <w:r>
        <w:rPr>
          <w:rFonts w:ascii="仿宋" w:hAnsi="仿宋" w:eastAsia="仿宋" w:cs="Times New Roman"/>
          <w:sz w:val="28"/>
          <w:szCs w:val="28"/>
        </w:rPr>
        <w:t>462门试运行</w:t>
      </w:r>
      <w:r>
        <w:rPr>
          <w:rFonts w:hint="eastAsia" w:ascii="仿宋" w:hAnsi="仿宋" w:eastAsia="仿宋" w:cs="Times New Roman"/>
          <w:sz w:val="28"/>
          <w:szCs w:val="28"/>
        </w:rPr>
        <w:t>的链接课程）。此类课</w:t>
      </w:r>
      <w:r>
        <w:rPr>
          <w:rFonts w:hint="eastAsia" w:ascii="Times New Roman" w:hAnsi="Times New Roman" w:eastAsia="仿宋" w:cs="Times New Roman"/>
          <w:sz w:val="28"/>
          <w:szCs w:val="28"/>
        </w:rPr>
        <w:t>程资源著作权归</w:t>
      </w:r>
      <w:r>
        <w:rPr>
          <w:rFonts w:ascii="仿宋" w:hAnsi="仿宋" w:eastAsia="仿宋" w:cs="Times New Roman"/>
          <w:sz w:val="28"/>
          <w:szCs w:val="28"/>
        </w:rPr>
        <w:t>高校及教师（团队）</w:t>
      </w:r>
      <w:r>
        <w:rPr>
          <w:rFonts w:hint="eastAsia" w:ascii="仿宋" w:hAnsi="仿宋" w:eastAsia="仿宋" w:cs="Times New Roman"/>
          <w:sz w:val="28"/>
          <w:szCs w:val="28"/>
        </w:rPr>
        <w:t>享有，</w:t>
      </w:r>
      <w:r>
        <w:rPr>
          <w:rFonts w:hint="eastAsia" w:ascii="Times New Roman" w:hAnsi="Times New Roman" w:eastAsia="仿宋" w:cs="Times New Roman"/>
          <w:sz w:val="28"/>
          <w:szCs w:val="28"/>
        </w:rPr>
        <w:t>并授权</w:t>
      </w:r>
      <w:r>
        <w:rPr>
          <w:rFonts w:hint="eastAsia" w:ascii="仿宋" w:hAnsi="仿宋" w:eastAsia="仿宋" w:cs="Times New Roman"/>
          <w:sz w:val="28"/>
          <w:szCs w:val="28"/>
        </w:rPr>
        <w:t>江苏高等继续教育“一平台两系统”</w:t>
      </w:r>
      <w:r>
        <w:rPr>
          <w:rFonts w:hint="eastAsia" w:ascii="Times New Roman" w:hAnsi="Times New Roman" w:eastAsia="仿宋" w:cs="Times New Roman"/>
          <w:sz w:val="28"/>
          <w:szCs w:val="28"/>
        </w:rPr>
        <w:t>向省内高校免费开放</w:t>
      </w:r>
      <w:r>
        <w:rPr>
          <w:rFonts w:ascii="Times New Roman" w:hAnsi="Times New Roman" w:eastAsia="仿宋" w:cs="Times New Roman"/>
          <w:sz w:val="28"/>
          <w:szCs w:val="28"/>
        </w:rPr>
        <w:t>共享</w:t>
      </w:r>
      <w:r>
        <w:rPr>
          <w:rFonts w:ascii="仿宋" w:hAnsi="仿宋" w:eastAsia="仿宋" w:cs="Times New Roman"/>
          <w:sz w:val="28"/>
          <w:szCs w:val="28"/>
        </w:rPr>
        <w:t>。</w:t>
      </w:r>
      <w:r>
        <w:rPr>
          <w:rFonts w:hint="eastAsia" w:ascii="仿宋" w:hAnsi="仿宋" w:eastAsia="仿宋" w:cs="Times New Roman"/>
          <w:sz w:val="28"/>
          <w:szCs w:val="28"/>
        </w:rPr>
        <w:t>高校需处理好新建课程的版权事宜。推荐此类课程请填写《第二批江苏高等继续教育“一平台两系统”在线课程资源（新建课程）推荐表》（见附件3）。</w:t>
      </w:r>
    </w:p>
    <w:p>
      <w:pPr>
        <w:spacing w:line="360" w:lineRule="auto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</w:t>
      </w:r>
      <w:r>
        <w:rPr>
          <w:rFonts w:ascii="Times New Roman" w:hAnsi="Times New Roman" w:eastAsia="黑体" w:cs="Times New Roman"/>
          <w:sz w:val="28"/>
          <w:szCs w:val="28"/>
        </w:rPr>
        <w:t>、建设原则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公益服务。“一平台两系统”面向全省高校，致力于为在职学习者创建更加方便、灵活、个性的信息化学习环境，供我省高等学历继续教育在籍生使用，省内高校之间课程共享、费用互免。承办单位研究会本着“公益为先”的方式选择平台的建设方和运营方，建设初期运营方将无偿提供平台技术保障和运营服务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2.特色鲜明。</w:t>
      </w:r>
      <w:r>
        <w:rPr>
          <w:rFonts w:hint="eastAsia" w:ascii="Times New Roman" w:hAnsi="Times New Roman" w:eastAsia="仿宋" w:cs="Times New Roman"/>
          <w:sz w:val="28"/>
          <w:szCs w:val="28"/>
        </w:rPr>
        <w:t>在线课程资源</w:t>
      </w:r>
      <w:r>
        <w:rPr>
          <w:rFonts w:ascii="Times New Roman" w:hAnsi="Times New Roman" w:eastAsia="仿宋" w:cs="Times New Roman"/>
          <w:sz w:val="28"/>
          <w:szCs w:val="28"/>
        </w:rPr>
        <w:t>要坚持立德树人，弘扬社会主义核心价值观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  <w:r>
        <w:rPr>
          <w:rFonts w:hint="eastAsia" w:ascii="仿宋" w:hAnsi="仿宋" w:eastAsia="仿宋" w:cs="Times New Roman"/>
          <w:sz w:val="28"/>
          <w:szCs w:val="28"/>
        </w:rPr>
        <w:t>在线课程资源要针对在职学习者的特点，符合高等继续教育人才培养方案、课程标准与教学规范，突出培养社会主义建设者和接班人的要求。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</w:t>
      </w:r>
      <w:r>
        <w:rPr>
          <w:rFonts w:ascii="仿宋" w:hAnsi="仿宋" w:eastAsia="仿宋" w:cs="Times New Roman"/>
          <w:sz w:val="28"/>
          <w:szCs w:val="28"/>
        </w:rPr>
        <w:t>择优推荐。各高校负责建设、推荐本校</w:t>
      </w:r>
      <w:r>
        <w:rPr>
          <w:rFonts w:hint="eastAsia" w:ascii="仿宋" w:hAnsi="仿宋" w:eastAsia="仿宋" w:cs="Times New Roman"/>
          <w:sz w:val="28"/>
          <w:szCs w:val="28"/>
        </w:rPr>
        <w:t>高等继续教育</w:t>
      </w:r>
      <w:r>
        <w:rPr>
          <w:rFonts w:ascii="仿宋" w:hAnsi="仿宋" w:eastAsia="仿宋" w:cs="Times New Roman"/>
          <w:sz w:val="28"/>
          <w:szCs w:val="28"/>
        </w:rPr>
        <w:t>优质</w:t>
      </w:r>
      <w:r>
        <w:rPr>
          <w:rFonts w:hint="eastAsia" w:ascii="仿宋" w:hAnsi="仿宋" w:eastAsia="仿宋" w:cs="Times New Roman"/>
          <w:sz w:val="28"/>
          <w:szCs w:val="28"/>
        </w:rPr>
        <w:t>在线课程。</w:t>
      </w:r>
      <w:r>
        <w:rPr>
          <w:rFonts w:ascii="仿宋" w:hAnsi="仿宋" w:eastAsia="仿宋" w:cs="Times New Roman"/>
          <w:sz w:val="28"/>
          <w:szCs w:val="28"/>
        </w:rPr>
        <w:t>各类</w:t>
      </w:r>
      <w:r>
        <w:rPr>
          <w:rFonts w:hint="eastAsia" w:ascii="仿宋" w:hAnsi="仿宋" w:eastAsia="仿宋" w:cs="Times New Roman"/>
          <w:sz w:val="28"/>
          <w:szCs w:val="28"/>
        </w:rPr>
        <w:t>在线课程资源</w:t>
      </w:r>
      <w:r>
        <w:rPr>
          <w:rFonts w:ascii="仿宋" w:hAnsi="仿宋" w:eastAsia="仿宋" w:cs="Times New Roman"/>
          <w:sz w:val="28"/>
          <w:szCs w:val="28"/>
        </w:rPr>
        <w:t>建设所需经费由各校负责落实，</w:t>
      </w:r>
      <w:r>
        <w:rPr>
          <w:rFonts w:hint="eastAsia" w:ascii="仿宋" w:hAnsi="仿宋" w:eastAsia="仿宋" w:cs="Times New Roman"/>
          <w:sz w:val="28"/>
          <w:szCs w:val="28"/>
        </w:rPr>
        <w:t>由各校自行建设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4.优质高效。在线课程资源要有明确的教学目标，优化的课程结构，更新的教学内容，契合的层次定位，充分、合理地运用信息技术、数字资源和信息化平台的功能。</w:t>
      </w:r>
    </w:p>
    <w:p>
      <w:pPr>
        <w:spacing w:line="360" w:lineRule="auto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</w:t>
      </w:r>
      <w:r>
        <w:rPr>
          <w:rFonts w:ascii="Times New Roman" w:hAnsi="Times New Roman" w:eastAsia="黑体" w:cs="Times New Roman"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</w:rPr>
        <w:t>建设</w:t>
      </w:r>
      <w:r>
        <w:rPr>
          <w:rFonts w:ascii="Times New Roman" w:hAnsi="Times New Roman" w:eastAsia="黑体" w:cs="Times New Roman"/>
          <w:sz w:val="28"/>
          <w:szCs w:val="28"/>
        </w:rPr>
        <w:t>要求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1.高校要切实履行</w:t>
      </w:r>
      <w:r>
        <w:rPr>
          <w:rFonts w:hint="eastAsia" w:ascii="仿宋" w:hAnsi="仿宋" w:eastAsia="仿宋" w:cs="Times New Roman"/>
          <w:sz w:val="28"/>
          <w:szCs w:val="28"/>
        </w:rPr>
        <w:t>在线课程</w:t>
      </w:r>
      <w:r>
        <w:rPr>
          <w:rFonts w:ascii="仿宋" w:hAnsi="仿宋" w:eastAsia="仿宋" w:cs="Times New Roman"/>
          <w:sz w:val="28"/>
          <w:szCs w:val="28"/>
        </w:rPr>
        <w:t>资源建设与管理的</w:t>
      </w:r>
      <w:r>
        <w:rPr>
          <w:rFonts w:hint="eastAsia" w:ascii="仿宋" w:hAnsi="仿宋" w:eastAsia="仿宋" w:cs="Times New Roman"/>
          <w:sz w:val="28"/>
          <w:szCs w:val="28"/>
        </w:rPr>
        <w:t>主体</w:t>
      </w:r>
      <w:r>
        <w:rPr>
          <w:rFonts w:ascii="仿宋" w:hAnsi="仿宋" w:eastAsia="仿宋" w:cs="Times New Roman"/>
          <w:sz w:val="28"/>
          <w:szCs w:val="28"/>
        </w:rPr>
        <w:t>责任，实行严格的意识形态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Times New Roman"/>
          <w:sz w:val="28"/>
          <w:szCs w:val="28"/>
        </w:rPr>
        <w:t>内容</w:t>
      </w:r>
      <w:r>
        <w:rPr>
          <w:rFonts w:hint="eastAsia" w:ascii="仿宋" w:hAnsi="仿宋" w:eastAsia="仿宋" w:cs="Times New Roman"/>
          <w:sz w:val="28"/>
          <w:szCs w:val="28"/>
        </w:rPr>
        <w:t>、版权等方面的</w:t>
      </w:r>
      <w:r>
        <w:rPr>
          <w:rFonts w:ascii="仿宋" w:hAnsi="仿宋" w:eastAsia="仿宋" w:cs="Times New Roman"/>
          <w:sz w:val="28"/>
          <w:szCs w:val="28"/>
        </w:rPr>
        <w:t>审查和质量监督，确保</w:t>
      </w:r>
      <w:r>
        <w:rPr>
          <w:rFonts w:hint="eastAsia" w:ascii="仿宋" w:hAnsi="仿宋" w:eastAsia="仿宋" w:cs="Times New Roman"/>
          <w:sz w:val="28"/>
          <w:szCs w:val="28"/>
        </w:rPr>
        <w:t>在线课程</w:t>
      </w:r>
      <w:r>
        <w:rPr>
          <w:rFonts w:ascii="仿宋" w:hAnsi="仿宋" w:eastAsia="仿宋" w:cs="Times New Roman"/>
          <w:sz w:val="28"/>
          <w:szCs w:val="28"/>
        </w:rPr>
        <w:t>资源正确的政治方向和价值导向，无危害国家安全、涉密</w:t>
      </w:r>
      <w:r>
        <w:rPr>
          <w:rFonts w:hint="eastAsia" w:ascii="仿宋" w:hAnsi="仿宋" w:eastAsia="仿宋" w:cs="Times New Roman"/>
          <w:sz w:val="28"/>
          <w:szCs w:val="28"/>
        </w:rPr>
        <w:t>、敏感信息</w:t>
      </w:r>
      <w:r>
        <w:rPr>
          <w:rFonts w:ascii="仿宋" w:hAnsi="仿宋" w:eastAsia="仿宋" w:cs="Times New Roman"/>
          <w:sz w:val="28"/>
          <w:szCs w:val="28"/>
        </w:rPr>
        <w:t>及其他不适宜网络公开传播的内容，</w:t>
      </w:r>
      <w:r>
        <w:rPr>
          <w:rFonts w:hint="eastAsia" w:ascii="仿宋" w:hAnsi="仿宋" w:eastAsia="仿宋" w:cs="Times New Roman"/>
          <w:sz w:val="28"/>
          <w:szCs w:val="28"/>
        </w:rPr>
        <w:t>确保无与党和国家的方针、政策、法律法规以及相关规定和要求不符的内容。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高校要确保在线课程资源</w:t>
      </w:r>
      <w:r>
        <w:rPr>
          <w:rFonts w:ascii="仿宋" w:hAnsi="仿宋" w:eastAsia="仿宋" w:cs="Times New Roman"/>
          <w:sz w:val="28"/>
          <w:szCs w:val="28"/>
        </w:rPr>
        <w:t>无侵犯他人知识产权内容，符合科学性、适用性要求。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3.</w:t>
      </w:r>
      <w:r>
        <w:rPr>
          <w:rFonts w:hint="eastAsia" w:ascii="仿宋" w:hAnsi="仿宋" w:eastAsia="仿宋" w:cs="Times New Roman"/>
          <w:sz w:val="28"/>
          <w:szCs w:val="28"/>
        </w:rPr>
        <w:t>在线课程资源上线共享之后，需要保证全年开放，并做好持续更新与维护。如果课程下线或关闭需要提前2个月通知平台和选课高校。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4.</w:t>
      </w:r>
      <w:r>
        <w:rPr>
          <w:rFonts w:hint="eastAsia" w:ascii="仿宋" w:hAnsi="仿宋" w:eastAsia="仿宋" w:cs="Times New Roman"/>
          <w:sz w:val="28"/>
          <w:szCs w:val="28"/>
        </w:rPr>
        <w:t>高校要支持和保障入选的在线课程建设，并建议给予相关政策倾斜和经费扶持。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</w:rPr>
        <w:t>链接课程和新建课程资源由专家组认定后，择优在</w:t>
      </w:r>
      <w:r>
        <w:rPr>
          <w:rFonts w:hint="eastAsia" w:ascii="仿宋" w:hAnsi="仿宋" w:eastAsia="仿宋" w:cs="Times New Roman"/>
          <w:sz w:val="28"/>
          <w:szCs w:val="28"/>
        </w:rPr>
        <w:t>江苏高等继续教育“一平台两系统”上开放共享，供各高校选课共享使用（使用方法另行通知）。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</w:t>
      </w:r>
      <w:r>
        <w:rPr>
          <w:rFonts w:ascii="Times New Roman" w:hAnsi="Times New Roman" w:eastAsia="黑体" w:cs="Times New Roman"/>
          <w:sz w:val="28"/>
          <w:szCs w:val="28"/>
        </w:rPr>
        <w:t>、工作安排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1.请各校于2月26-2月27日之间发送管理员信息至联系邮箱（见附件4），平台将于27日下午分配账号。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ascii="仿宋" w:hAnsi="仿宋" w:eastAsia="仿宋" w:cs="Times New Roman"/>
          <w:sz w:val="28"/>
          <w:szCs w:val="28"/>
        </w:rPr>
        <w:t>.请各校</w:t>
      </w:r>
      <w:r>
        <w:rPr>
          <w:rFonts w:hint="eastAsia" w:ascii="仿宋" w:hAnsi="仿宋" w:eastAsia="仿宋" w:cs="Times New Roman"/>
          <w:sz w:val="28"/>
          <w:szCs w:val="28"/>
        </w:rPr>
        <w:t>于2月28日—</w:t>
      </w:r>
      <w:r>
        <w:rPr>
          <w:rFonts w:ascii="仿宋" w:hAnsi="仿宋" w:eastAsia="仿宋" w:cs="Times New Roman"/>
          <w:sz w:val="28"/>
          <w:szCs w:val="28"/>
        </w:rPr>
        <w:t>3月</w:t>
      </w: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ascii="仿宋" w:hAnsi="仿宋" w:eastAsia="仿宋" w:cs="Times New Roman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28"/>
          <w:szCs w:val="28"/>
        </w:rPr>
        <w:t>之间在线填报</w:t>
      </w:r>
      <w:r>
        <w:rPr>
          <w:rFonts w:ascii="仿宋" w:hAnsi="仿宋" w:eastAsia="仿宋" w:cs="Times New Roman"/>
          <w:sz w:val="28"/>
          <w:szCs w:val="28"/>
        </w:rPr>
        <w:t>附件2</w:t>
      </w:r>
      <w:r>
        <w:rPr>
          <w:rFonts w:hint="eastAsia" w:ascii="仿宋" w:hAnsi="仿宋" w:eastAsia="仿宋" w:cs="Times New Roman"/>
          <w:sz w:val="28"/>
          <w:szCs w:val="28"/>
        </w:rPr>
        <w:t>和附件3，由系统导出后校领导签字、盖学校公章，再上传签字盖章的PDF版（具体网址及账号密码另行通知），课程上传时间为3月中下旬（另行通知）。请于3月7日前请寄送一份附件2或附件3的盖章纸质原件至：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南京市建邺区应天大街832号综合楼1107室</w:t>
      </w:r>
      <w:r>
        <w:rPr>
          <w:rFonts w:hint="eastAsia" w:ascii="仿宋" w:hAnsi="仿宋" w:eastAsia="仿宋" w:cs="Times New Roman"/>
          <w:sz w:val="28"/>
          <w:szCs w:val="28"/>
        </w:rPr>
        <w:t>，邮编：</w:t>
      </w:r>
      <w:r>
        <w:rPr>
          <w:rFonts w:ascii="仿宋" w:hAnsi="仿宋" w:eastAsia="仿宋" w:cs="Times New Roman"/>
          <w:sz w:val="28"/>
          <w:szCs w:val="28"/>
        </w:rPr>
        <w:t>210019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联系人：戴丽娟，电话：</w:t>
      </w:r>
      <w:r>
        <w:rPr>
          <w:rFonts w:ascii="仿宋" w:hAnsi="仿宋" w:eastAsia="仿宋" w:cs="Times New Roman"/>
          <w:sz w:val="28"/>
          <w:szCs w:val="28"/>
        </w:rPr>
        <w:t>13337837018</w:t>
      </w:r>
      <w:r>
        <w:rPr>
          <w:rFonts w:hint="eastAsia" w:ascii="仿宋" w:hAnsi="仿宋" w:eastAsia="仿宋" w:cs="Times New Roman"/>
          <w:sz w:val="28"/>
          <w:szCs w:val="28"/>
        </w:rPr>
        <w:t>，邮箱</w:t>
      </w:r>
      <w:r>
        <w:rPr>
          <w:rFonts w:ascii="仿宋" w:hAnsi="仿宋" w:eastAsia="仿宋" w:cs="Times New Roman"/>
          <w:sz w:val="28"/>
          <w:szCs w:val="28"/>
        </w:rPr>
        <w:t>yptlxt@126.com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附件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sz w:val="28"/>
          <w:szCs w:val="28"/>
        </w:rPr>
        <w:t>1.</w:t>
      </w:r>
      <w:r>
        <w:rPr>
          <w:rFonts w:hint="eastAsia" w:ascii="仿宋" w:hAnsi="仿宋" w:eastAsia="仿宋" w:cs="Times New Roman"/>
          <w:sz w:val="28"/>
          <w:szCs w:val="28"/>
        </w:rPr>
        <w:t>江苏高等继续教育在线课程建设基本要求（试行）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2.</w:t>
      </w:r>
      <w:r>
        <w:rPr>
          <w:rFonts w:hint="eastAsia" w:ascii="仿宋" w:hAnsi="仿宋" w:eastAsia="仿宋" w:cs="Times New Roman"/>
          <w:sz w:val="28"/>
          <w:szCs w:val="28"/>
        </w:rPr>
        <w:t>第二批江苏高等继续教育“一平台两系统”</w:t>
      </w:r>
      <w:r>
        <w:rPr>
          <w:rFonts w:ascii="仿宋" w:hAnsi="仿宋" w:eastAsia="仿宋" w:cs="Times New Roman"/>
          <w:sz w:val="28"/>
          <w:szCs w:val="28"/>
        </w:rPr>
        <w:t>在线课程资源</w:t>
      </w:r>
      <w:r>
        <w:rPr>
          <w:rFonts w:hint="eastAsia" w:ascii="仿宋" w:hAnsi="仿宋" w:eastAsia="仿宋" w:cs="Times New Roman"/>
          <w:sz w:val="28"/>
          <w:szCs w:val="28"/>
        </w:rPr>
        <w:t>（链接课程）</w:t>
      </w:r>
      <w:r>
        <w:rPr>
          <w:rFonts w:ascii="仿宋" w:hAnsi="仿宋" w:eastAsia="仿宋" w:cs="Times New Roman"/>
          <w:sz w:val="28"/>
          <w:szCs w:val="28"/>
        </w:rPr>
        <w:t>推荐表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第二批江苏高等继续教育“一平台两系统”</w:t>
      </w:r>
      <w:r>
        <w:rPr>
          <w:rFonts w:ascii="仿宋" w:hAnsi="仿宋" w:eastAsia="仿宋" w:cs="Times New Roman"/>
          <w:sz w:val="28"/>
          <w:szCs w:val="28"/>
        </w:rPr>
        <w:t>在线课程资源</w:t>
      </w:r>
      <w:r>
        <w:rPr>
          <w:rFonts w:hint="eastAsia" w:ascii="仿宋" w:hAnsi="仿宋" w:eastAsia="仿宋" w:cs="Times New Roman"/>
          <w:sz w:val="28"/>
          <w:szCs w:val="28"/>
        </w:rPr>
        <w:t>（新建课程）</w:t>
      </w:r>
      <w:r>
        <w:rPr>
          <w:rFonts w:ascii="仿宋" w:hAnsi="仿宋" w:eastAsia="仿宋" w:cs="Times New Roman"/>
          <w:sz w:val="28"/>
          <w:szCs w:val="28"/>
        </w:rPr>
        <w:t>推荐表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4.江苏高等继续教育“一平台两系统”管理员信息表</w:t>
      </w:r>
    </w:p>
    <w:p>
      <w:pPr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ind w:firstLine="3640" w:firstLineChars="13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江苏省高等学校教育</w:t>
      </w:r>
      <w:r>
        <w:rPr>
          <w:rFonts w:hint="eastAsia" w:ascii="Times New Roman" w:hAnsi="Times New Roman" w:eastAsia="仿宋" w:cs="Times New Roman"/>
          <w:sz w:val="28"/>
          <w:szCs w:val="28"/>
        </w:rPr>
        <w:t>信息化</w:t>
      </w:r>
      <w:r>
        <w:rPr>
          <w:rFonts w:ascii="Times New Roman" w:hAnsi="Times New Roman" w:eastAsia="仿宋" w:cs="Times New Roman"/>
          <w:sz w:val="28"/>
          <w:szCs w:val="28"/>
        </w:rPr>
        <w:t>研究会</w:t>
      </w:r>
    </w:p>
    <w:p>
      <w:pPr>
        <w:ind w:left="1890" w:leftChars="900"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江苏省高等教育学会高校成人教育研究委员会</w:t>
      </w:r>
    </w:p>
    <w:p>
      <w:pPr>
        <w:ind w:left="1890" w:leftChars="900" w:firstLine="3360" w:firstLineChars="1200"/>
        <w:jc w:val="left"/>
        <w:rPr>
          <w:rFonts w:ascii="仿宋" w:hAnsi="仿宋" w:eastAsia="仿宋"/>
          <w:sz w:val="24"/>
          <w:szCs w:val="24"/>
        </w:rPr>
      </w:pPr>
      <w:r>
        <w:rPr>
          <w:rFonts w:ascii="Times New Roman" w:hAnsi="Times New Roman" w:eastAsia="仿宋" w:cs="Times New Roman"/>
          <w:sz w:val="28"/>
          <w:szCs w:val="28"/>
        </w:rPr>
        <w:t>2024年2月</w:t>
      </w:r>
      <w:r>
        <w:rPr>
          <w:rFonts w:hint="eastAsia"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日</w:t>
      </w:r>
      <w:r>
        <w:rPr>
          <w:rFonts w:ascii="仿宋" w:hAnsi="仿宋" w:eastAsia="仿宋"/>
          <w:sz w:val="24"/>
          <w:szCs w:val="24"/>
        </w:rPr>
        <w:br w:type="page"/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附件1</w:t>
      </w:r>
    </w:p>
    <w:p>
      <w:pPr>
        <w:spacing w:line="300" w:lineRule="auto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江苏高等继续教育“一平台两系统”课程建设基本要求（试行）</w:t>
      </w:r>
    </w:p>
    <w:tbl>
      <w:tblPr>
        <w:tblStyle w:val="15"/>
        <w:tblW w:w="91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133"/>
        <w:gridCol w:w="7330"/>
      </w:tblGrid>
      <w:tr>
        <w:trPr>
          <w:trHeight w:val="447" w:hRule="atLeast"/>
          <w:jc w:val="center"/>
        </w:trPr>
        <w:tc>
          <w:tcPr>
            <w:tcW w:w="68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733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建设要求</w:t>
            </w:r>
          </w:p>
        </w:tc>
      </w:tr>
      <w:tr>
        <w:trPr>
          <w:trHeight w:val="20" w:hRule="atLeast"/>
          <w:jc w:val="center"/>
        </w:trPr>
        <w:tc>
          <w:tcPr>
            <w:tcW w:w="68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基本信息</w:t>
            </w:r>
          </w:p>
        </w:tc>
        <w:tc>
          <w:tcPr>
            <w:tcW w:w="7330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包括但不限于：课程名称、课程类别、课程封面图或课程宣传片、课程概述、教学目标、教学计划、教学内容、课程特点、适用对象、教学团队、学习方法和要求、学时数、学分数、学习要求、考核方式、成绩评定、教材与参考资料等。</w:t>
            </w:r>
          </w:p>
        </w:tc>
      </w:tr>
      <w:tr>
        <w:trPr>
          <w:trHeight w:val="20" w:hRule="atLeast"/>
          <w:jc w:val="center"/>
        </w:trPr>
        <w:tc>
          <w:tcPr>
            <w:tcW w:w="68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教师团队</w:t>
            </w:r>
          </w:p>
        </w:tc>
        <w:tc>
          <w:tcPr>
            <w:tcW w:w="7330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团队成员结构合理，分工明确，有课程团队简介及照片。</w:t>
            </w:r>
          </w:p>
        </w:tc>
      </w:tr>
      <w:tr>
        <w:trPr>
          <w:trHeight w:val="20" w:hRule="atLeast"/>
          <w:jc w:val="center"/>
        </w:trPr>
        <w:tc>
          <w:tcPr>
            <w:tcW w:w="68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课程大纲</w:t>
            </w:r>
          </w:p>
        </w:tc>
        <w:tc>
          <w:tcPr>
            <w:tcW w:w="7330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列出课程知识结构表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注明各单元教学目标、教学内容、授课方式、教学活动方式、成绩评定方法、学习方法、常见问题等。</w:t>
            </w:r>
          </w:p>
        </w:tc>
      </w:tr>
      <w:tr>
        <w:trPr>
          <w:trHeight w:val="20" w:hRule="atLeast"/>
          <w:jc w:val="center"/>
        </w:trPr>
        <w:tc>
          <w:tcPr>
            <w:tcW w:w="68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教学资料</w:t>
            </w:r>
          </w:p>
        </w:tc>
        <w:tc>
          <w:tcPr>
            <w:tcW w:w="7330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课程要提供教学用的音频、演示文稿、文字材料、文献、案例、素材、参考资料、常用软件、工具等。材料内容页面呈现要清晰美观，如有外部链接，需能正常访问。</w:t>
            </w:r>
          </w:p>
        </w:tc>
      </w:tr>
      <w:tr>
        <w:trPr>
          <w:trHeight w:val="20" w:hRule="atLeast"/>
          <w:jc w:val="center"/>
        </w:trPr>
        <w:tc>
          <w:tcPr>
            <w:tcW w:w="68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课堂讨论</w:t>
            </w:r>
          </w:p>
        </w:tc>
        <w:tc>
          <w:tcPr>
            <w:tcW w:w="7330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每个单元可安排一个或多个主题讨论。教师团队需组织学生开展讨论，密切关注论坛情况，及时答疑，形成良好的互动学习社区。</w:t>
            </w:r>
          </w:p>
        </w:tc>
      </w:tr>
      <w:tr>
        <w:trPr>
          <w:trHeight w:val="20" w:hRule="atLeast"/>
          <w:jc w:val="center"/>
        </w:trPr>
        <w:tc>
          <w:tcPr>
            <w:tcW w:w="68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作业练习及考试</w:t>
            </w:r>
          </w:p>
        </w:tc>
        <w:tc>
          <w:tcPr>
            <w:tcW w:w="7330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根据课程内容，要提供相关测验、作业和练习。每门课至少设一次考试。题目分为客观题和主观题。客观题可有单项选择、多项选择、判断题等；主观题可有填空、简答、论述、计算、画图等。所有客观题题目必须提供答案，主观题能提供解题步骤和说明。课程应建立题库，所有题目必须与知识点挂钩，题量不少于期末考试题量的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倍。</w:t>
            </w:r>
          </w:p>
        </w:tc>
      </w:tr>
      <w:tr>
        <w:trPr>
          <w:trHeight w:val="20" w:hRule="atLeast"/>
          <w:jc w:val="center"/>
        </w:trPr>
        <w:tc>
          <w:tcPr>
            <w:tcW w:w="68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教学视频</w:t>
            </w:r>
          </w:p>
        </w:tc>
        <w:tc>
          <w:tcPr>
            <w:tcW w:w="7330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教学视频时长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5-20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分钟为宜。视频内容紧紧围绕教学内容，避免出现有广告嫌疑或与课程无关的内容。视频片头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片尾时长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秒为宜。视频画面构图合理，主体突出，建议教师出镜。教师教学背景为静态，画面简洁明快，有利于学习。教学环境应光线充足、安静。教师状态饱满，大方得体，语言标准、板书清楚。使用资料、图片、外景、实验和表演等应符合教学内容要求，引用他人素材需注明出处。</w:t>
            </w:r>
          </w:p>
        </w:tc>
      </w:tr>
      <w:tr>
        <w:trPr>
          <w:trHeight w:val="20" w:hRule="atLeast"/>
          <w:jc w:val="center"/>
        </w:trPr>
        <w:tc>
          <w:tcPr>
            <w:tcW w:w="68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视频技术要求</w:t>
            </w:r>
          </w:p>
        </w:tc>
        <w:tc>
          <w:tcPr>
            <w:tcW w:w="7330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视频信号稳定，无丢帧、抖动现象。色调平衡，无偏色、突变。画幅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16:9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1080p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。音频信号声画同步，无杂音。解说清晰，无失真。视频压缩采用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H.264/AVC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编码，码流率不低于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1024kbps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，帧率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25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帧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秒，逐行扫描。音频压缩采用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AAC(MPEG4 Part3)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格式，采样率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48KHz,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码流率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128Kbps(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恒定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，信噪比不低于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48db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，双声道混音。视频采用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MP4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封装，单个视频文件小于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200MB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。字幕外挂，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SRT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格式。封面图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1280×720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jpg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格式，单张图片不超过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，课程封面图应包括完整的课程名称、主讲教师姓名、学校名称等信息。</w:t>
            </w:r>
          </w:p>
        </w:tc>
      </w:tr>
    </w:tbl>
    <w:p>
      <w:pPr>
        <w:widowControl/>
        <w:spacing w:line="30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br w:type="page"/>
      </w:r>
    </w:p>
    <w:p>
      <w:pPr>
        <w:tabs>
          <w:tab w:val="left" w:pos="4320"/>
        </w:tabs>
        <w:spacing w:line="30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附件2</w:t>
      </w:r>
    </w:p>
    <w:p>
      <w:pPr>
        <w:snapToGrid w:val="0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第二批江苏高等继续教育“一平台两系统”</w:t>
      </w:r>
    </w:p>
    <w:p>
      <w:pPr>
        <w:snapToGrid w:val="0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在线课程资源（链接课程）</w:t>
      </w:r>
    </w:p>
    <w:p>
      <w:pPr>
        <w:spacing w:line="30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推荐</w:t>
      </w:r>
      <w:r>
        <w:rPr>
          <w:rFonts w:ascii="黑体" w:hAnsi="黑体" w:eastAsia="黑体"/>
          <w:sz w:val="36"/>
          <w:szCs w:val="36"/>
        </w:rPr>
        <w:t>表</w:t>
      </w:r>
    </w:p>
    <w:tbl>
      <w:tblPr>
        <w:tblStyle w:val="7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2"/>
        <w:gridCol w:w="1418"/>
        <w:gridCol w:w="1275"/>
        <w:gridCol w:w="1560"/>
        <w:gridCol w:w="992"/>
        <w:gridCol w:w="1559"/>
      </w:tblGrid>
      <w:tr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在线课程名称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课程代码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适用专业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专业代码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在线课程链接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在线课程负责人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院系部门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职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务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 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手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机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微信号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课程简介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（2</w:t>
            </w: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字）</w:t>
            </w:r>
          </w:p>
        </w:tc>
        <w:tc>
          <w:tcPr>
            <w:tcW w:w="7796" w:type="dxa"/>
            <w:gridSpan w:val="6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课程建设情况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300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字内）</w:t>
            </w:r>
          </w:p>
        </w:tc>
        <w:tc>
          <w:tcPr>
            <w:tcW w:w="7796" w:type="dxa"/>
            <w:gridSpan w:val="6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（课程已获荣誉、是否已是国家或省精品在线课程等）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课程信息</w:t>
            </w:r>
          </w:p>
        </w:tc>
        <w:tc>
          <w:tcPr>
            <w:tcW w:w="7796" w:type="dxa"/>
            <w:gridSpan w:val="6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（供专家审核的课程链接、账号、密码等信息）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教师团队情况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300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字内）</w:t>
            </w:r>
          </w:p>
        </w:tc>
        <w:tc>
          <w:tcPr>
            <w:tcW w:w="7796" w:type="dxa"/>
            <w:gridSpan w:val="6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（授课教师主持人及团队情况）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在线课程资源建设承诺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保证内容不存在政治性、思想性、科学性和规范性问题，无涉密及其他不适宜公开传播的内容，不存在侵犯知识产权、肖像权以及其他违反国家法律法规的问题。</w:t>
            </w:r>
          </w:p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2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.同意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授权本在线课程资源发布在“江苏高等继续教育智慧教育平台”并免费向其他高校开放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3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承诺对入选后的在线课程资源全年开放，并持续更新和维护。如果下线或关闭需要提前2个月通知。</w:t>
            </w:r>
          </w:p>
          <w:p>
            <w:pPr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 xml:space="preserve">课程负责人签名：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 xml:space="preserve">日期：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</w:t>
            </w: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学校审核意见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学校对课程有关信息及课程负责人填报的内容进行了核实，该课程团队负责人及成员遵纪守法，不存在师德师风、学术不端等问题，近五年内未出现过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较大以上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教学事故，课程符合学校办学定位，满足专业人才培养需求，推荐申报。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该课程如果被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入选“江苏高等继续教育智慧教育平台”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，学校承诺为课程团队提供政策、经费等方面的支持，确保该课程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至少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继续建设五年。学校和课程团队同意课程建设和改革成果在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“江苏高等继续教育智慧教育平台”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上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开放共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享。学校将监督课程教学团队更新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课程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资源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并做好为全省其他高校继续教育开课服务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。</w:t>
            </w:r>
          </w:p>
          <w:p>
            <w:pPr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 xml:space="preserve">学校负责人签名：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 xml:space="preserve">日期：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学校公章：</w:t>
            </w:r>
          </w:p>
        </w:tc>
      </w:tr>
    </w:tbl>
    <w:p>
      <w:pPr>
        <w:tabs>
          <w:tab w:val="left" w:pos="4320"/>
        </w:tabs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注：此表为链接课程推荐表，每门在线课程资源填写</w:t>
      </w:r>
      <w:r>
        <w:rPr>
          <w:rFonts w:ascii="宋体" w:hAnsi="宋体" w:eastAsia="宋体"/>
          <w:sz w:val="18"/>
          <w:szCs w:val="18"/>
        </w:rPr>
        <w:t>1张《推荐表》。</w:t>
      </w:r>
      <w:r>
        <w:rPr>
          <w:rFonts w:ascii="宋体" w:hAnsi="宋体" w:eastAsia="宋体"/>
          <w:sz w:val="18"/>
          <w:szCs w:val="18"/>
        </w:rPr>
        <w:br w:type="page"/>
      </w:r>
    </w:p>
    <w:p>
      <w:pPr>
        <w:tabs>
          <w:tab w:val="left" w:pos="4320"/>
        </w:tabs>
        <w:spacing w:line="30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附件3    </w:t>
      </w:r>
    </w:p>
    <w:p>
      <w:pPr>
        <w:snapToGrid w:val="0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第二批江苏高等继续教育“一平台两系统”</w:t>
      </w:r>
    </w:p>
    <w:p>
      <w:pPr>
        <w:snapToGrid w:val="0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在线课程资源（新建课程）</w:t>
      </w:r>
    </w:p>
    <w:p>
      <w:pPr>
        <w:spacing w:line="30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推荐</w:t>
      </w:r>
      <w:r>
        <w:rPr>
          <w:rFonts w:ascii="黑体" w:hAnsi="黑体" w:eastAsia="黑体"/>
          <w:sz w:val="36"/>
          <w:szCs w:val="36"/>
        </w:rPr>
        <w:t>表</w:t>
      </w:r>
    </w:p>
    <w:tbl>
      <w:tblPr>
        <w:tblStyle w:val="7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2"/>
        <w:gridCol w:w="1418"/>
        <w:gridCol w:w="1275"/>
        <w:gridCol w:w="1560"/>
        <w:gridCol w:w="992"/>
        <w:gridCol w:w="1559"/>
      </w:tblGrid>
      <w:tr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在线课程名称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课程代码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适用专业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专业代码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9492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 xml:space="preserve">课程资源著作权是否归高校及教师（团队）享有      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sym w:font="Wingdings" w:char="0020"/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 xml:space="preserve">是         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sym w:font="Wingdings" w:char="0020"/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否</w:t>
            </w:r>
          </w:p>
        </w:tc>
      </w:tr>
      <w:tr>
        <w:trPr>
          <w:trHeight w:val="397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在线课程负责人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院系部门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职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务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 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手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机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微信号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课程简介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（2</w:t>
            </w: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字内）</w:t>
            </w:r>
          </w:p>
        </w:tc>
        <w:tc>
          <w:tcPr>
            <w:tcW w:w="7796" w:type="dxa"/>
            <w:gridSpan w:val="6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课程建设情况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300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字内）</w:t>
            </w:r>
          </w:p>
        </w:tc>
        <w:tc>
          <w:tcPr>
            <w:tcW w:w="7796" w:type="dxa"/>
            <w:gridSpan w:val="6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（课程已获荣誉、是否已是国家或省精品在线课程，已在其他平台建设情况等）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教师团队情况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300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字内）</w:t>
            </w:r>
          </w:p>
        </w:tc>
        <w:tc>
          <w:tcPr>
            <w:tcW w:w="7796" w:type="dxa"/>
            <w:gridSpan w:val="6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（授课教师主持人及团队情况）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课程设计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（2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000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字内）</w:t>
            </w:r>
          </w:p>
        </w:tc>
        <w:tc>
          <w:tcPr>
            <w:tcW w:w="7796" w:type="dxa"/>
            <w:gridSpan w:val="6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（本课程定位与目标、结构与内容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情况、教学成效、特色创新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等情况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在线课程资源建设承诺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保证内容不存在政治性、思想性、科学性和规范性问题，无涉密及其他不适宜公开传播的内容，不存在侵犯知识产权、肖像权以及其他违反国家法律法规的问题。</w:t>
            </w:r>
          </w:p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2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.同意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授权本在线课程资源发布在“江苏高等继续教育智慧教育平台”并免费向其他高校开放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3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承诺对入选后的在线课程资源全年开放，并持续更新和维护。如果下线或关闭需要提前2个月通知。</w:t>
            </w:r>
          </w:p>
          <w:p>
            <w:pPr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 xml:space="preserve">课程负责人签名：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 xml:space="preserve">日期：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</w:t>
            </w:r>
          </w:p>
        </w:tc>
      </w:tr>
      <w:tr>
        <w:trPr>
          <w:trHeight w:val="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学校审核意见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学校对课程有关信息及课程负责人填报的内容进行了核实，该课程团队负责人及成员遵纪守法，不存在师德师风、学术不端等问题，近五年内未出现过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较大以上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教学事故，课程符合学校办学定位，满足专业人才培养需求，推荐申报。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该课程如果被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入选“江苏高等继续教育智慧教育平台”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，学校承诺为课程团队提供政策、经费等方面的支持，确保该课程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至少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继续建设五年。学校和课程团队同意课程建设和改革成果在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“江苏高等继续教育智慧教育平台”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上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开放共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享。学校将监督课程教学团队更新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课程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资源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并做好为全省其他高校继续教育开课服务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。</w:t>
            </w:r>
          </w:p>
          <w:p>
            <w:pPr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 xml:space="preserve">学校负责人签名：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 xml:space="preserve">日期：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学校公章：</w:t>
            </w:r>
          </w:p>
        </w:tc>
      </w:tr>
    </w:tbl>
    <w:p>
      <w:pPr>
        <w:spacing w:line="520" w:lineRule="exact"/>
        <w:ind w:right="26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注：此表为新建课程推荐表，每门在线课程资源填写</w:t>
      </w:r>
      <w:r>
        <w:rPr>
          <w:rFonts w:ascii="宋体" w:hAnsi="宋体" w:eastAsia="宋体"/>
          <w:sz w:val="18"/>
          <w:szCs w:val="18"/>
        </w:rPr>
        <w:t>1张《推荐表》。</w:t>
      </w:r>
    </w:p>
    <w:p>
      <w:pPr>
        <w:spacing w:line="520" w:lineRule="exact"/>
        <w:ind w:right="26"/>
        <w:jc w:val="left"/>
        <w:rPr>
          <w:rFonts w:ascii="Times New Roman" w:hAnsi="Times New Roman" w:eastAsia="黑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粗黑宋简体">
    <w:altName w:val="汉仪书宋二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9822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43"/>
    <w:rsid w:val="00007199"/>
    <w:rsid w:val="000106BC"/>
    <w:rsid w:val="000128BB"/>
    <w:rsid w:val="00022765"/>
    <w:rsid w:val="00023856"/>
    <w:rsid w:val="00023A60"/>
    <w:rsid w:val="000300C3"/>
    <w:rsid w:val="0003327B"/>
    <w:rsid w:val="0003366A"/>
    <w:rsid w:val="00050DE9"/>
    <w:rsid w:val="00055CF3"/>
    <w:rsid w:val="00062D65"/>
    <w:rsid w:val="0006563C"/>
    <w:rsid w:val="00070452"/>
    <w:rsid w:val="000848FE"/>
    <w:rsid w:val="00087CE1"/>
    <w:rsid w:val="000966A1"/>
    <w:rsid w:val="000A2D5F"/>
    <w:rsid w:val="000A7FC2"/>
    <w:rsid w:val="000B29AD"/>
    <w:rsid w:val="000B2F95"/>
    <w:rsid w:val="000B786A"/>
    <w:rsid w:val="000C37FC"/>
    <w:rsid w:val="000C39FD"/>
    <w:rsid w:val="000D0C2D"/>
    <w:rsid w:val="000D59DE"/>
    <w:rsid w:val="000E79A8"/>
    <w:rsid w:val="000F25F5"/>
    <w:rsid w:val="001078A1"/>
    <w:rsid w:val="0011120E"/>
    <w:rsid w:val="00111436"/>
    <w:rsid w:val="00121A29"/>
    <w:rsid w:val="001220D1"/>
    <w:rsid w:val="00142EAC"/>
    <w:rsid w:val="0014784A"/>
    <w:rsid w:val="001555FF"/>
    <w:rsid w:val="0015732B"/>
    <w:rsid w:val="001644EA"/>
    <w:rsid w:val="00175F0B"/>
    <w:rsid w:val="001811B8"/>
    <w:rsid w:val="00181A43"/>
    <w:rsid w:val="00181DBD"/>
    <w:rsid w:val="00192BA7"/>
    <w:rsid w:val="001A1CE8"/>
    <w:rsid w:val="001A3516"/>
    <w:rsid w:val="001A3736"/>
    <w:rsid w:val="001B37DE"/>
    <w:rsid w:val="001C6310"/>
    <w:rsid w:val="001C7061"/>
    <w:rsid w:val="001D1806"/>
    <w:rsid w:val="001D6DAE"/>
    <w:rsid w:val="001E3FDA"/>
    <w:rsid w:val="001F117D"/>
    <w:rsid w:val="001F4079"/>
    <w:rsid w:val="001F5A8E"/>
    <w:rsid w:val="002021FD"/>
    <w:rsid w:val="002069E4"/>
    <w:rsid w:val="00215FCC"/>
    <w:rsid w:val="00221B7C"/>
    <w:rsid w:val="002272E4"/>
    <w:rsid w:val="00242067"/>
    <w:rsid w:val="002421E8"/>
    <w:rsid w:val="00245AC4"/>
    <w:rsid w:val="00246E88"/>
    <w:rsid w:val="00253228"/>
    <w:rsid w:val="002534D9"/>
    <w:rsid w:val="00253993"/>
    <w:rsid w:val="0027219A"/>
    <w:rsid w:val="00281A9A"/>
    <w:rsid w:val="002900E6"/>
    <w:rsid w:val="002A2B98"/>
    <w:rsid w:val="002B5DD9"/>
    <w:rsid w:val="002B5FD4"/>
    <w:rsid w:val="002C5430"/>
    <w:rsid w:val="002C7861"/>
    <w:rsid w:val="002D15E6"/>
    <w:rsid w:val="002D5E6F"/>
    <w:rsid w:val="002D70CC"/>
    <w:rsid w:val="002D7E21"/>
    <w:rsid w:val="002E55C6"/>
    <w:rsid w:val="002F52C8"/>
    <w:rsid w:val="002F68E6"/>
    <w:rsid w:val="002F75BD"/>
    <w:rsid w:val="00304163"/>
    <w:rsid w:val="003078EB"/>
    <w:rsid w:val="003110A1"/>
    <w:rsid w:val="0032144C"/>
    <w:rsid w:val="00322A6A"/>
    <w:rsid w:val="00325A98"/>
    <w:rsid w:val="00327AAB"/>
    <w:rsid w:val="0033045B"/>
    <w:rsid w:val="003326C7"/>
    <w:rsid w:val="003378B0"/>
    <w:rsid w:val="00347C5E"/>
    <w:rsid w:val="00350D97"/>
    <w:rsid w:val="003547DF"/>
    <w:rsid w:val="00354A92"/>
    <w:rsid w:val="0036190A"/>
    <w:rsid w:val="00365AA4"/>
    <w:rsid w:val="0038002C"/>
    <w:rsid w:val="0039021B"/>
    <w:rsid w:val="003922F2"/>
    <w:rsid w:val="00394524"/>
    <w:rsid w:val="003C0D47"/>
    <w:rsid w:val="003C6EA4"/>
    <w:rsid w:val="003D57B4"/>
    <w:rsid w:val="003D5BEB"/>
    <w:rsid w:val="003E6965"/>
    <w:rsid w:val="003E7F42"/>
    <w:rsid w:val="003F1143"/>
    <w:rsid w:val="003F554B"/>
    <w:rsid w:val="003F5935"/>
    <w:rsid w:val="003F72CE"/>
    <w:rsid w:val="00400060"/>
    <w:rsid w:val="00401397"/>
    <w:rsid w:val="004408A4"/>
    <w:rsid w:val="00444878"/>
    <w:rsid w:val="0044575B"/>
    <w:rsid w:val="00460151"/>
    <w:rsid w:val="0047419D"/>
    <w:rsid w:val="00477034"/>
    <w:rsid w:val="004819D3"/>
    <w:rsid w:val="00490ECF"/>
    <w:rsid w:val="00493369"/>
    <w:rsid w:val="0049690B"/>
    <w:rsid w:val="00496E6D"/>
    <w:rsid w:val="004A2FE6"/>
    <w:rsid w:val="004B4950"/>
    <w:rsid w:val="004C795D"/>
    <w:rsid w:val="004D2E7A"/>
    <w:rsid w:val="004E7E81"/>
    <w:rsid w:val="004F15D4"/>
    <w:rsid w:val="00507313"/>
    <w:rsid w:val="005118CC"/>
    <w:rsid w:val="00512AB3"/>
    <w:rsid w:val="005167B8"/>
    <w:rsid w:val="00525956"/>
    <w:rsid w:val="00525BBB"/>
    <w:rsid w:val="00530FA3"/>
    <w:rsid w:val="00537314"/>
    <w:rsid w:val="005463D1"/>
    <w:rsid w:val="005474F5"/>
    <w:rsid w:val="00551ABF"/>
    <w:rsid w:val="0058054D"/>
    <w:rsid w:val="00581BCF"/>
    <w:rsid w:val="005A2B55"/>
    <w:rsid w:val="005A39A3"/>
    <w:rsid w:val="005B7B66"/>
    <w:rsid w:val="005E6740"/>
    <w:rsid w:val="005F0084"/>
    <w:rsid w:val="005F5F60"/>
    <w:rsid w:val="006068DD"/>
    <w:rsid w:val="006327F1"/>
    <w:rsid w:val="00634C18"/>
    <w:rsid w:val="0063512E"/>
    <w:rsid w:val="00635528"/>
    <w:rsid w:val="00641FF1"/>
    <w:rsid w:val="00651498"/>
    <w:rsid w:val="00660EBD"/>
    <w:rsid w:val="006639B6"/>
    <w:rsid w:val="00664698"/>
    <w:rsid w:val="00673F8C"/>
    <w:rsid w:val="006743A7"/>
    <w:rsid w:val="006750F2"/>
    <w:rsid w:val="00677266"/>
    <w:rsid w:val="00690396"/>
    <w:rsid w:val="006A082D"/>
    <w:rsid w:val="006A374C"/>
    <w:rsid w:val="006A59EC"/>
    <w:rsid w:val="006A7C54"/>
    <w:rsid w:val="006B75F0"/>
    <w:rsid w:val="006C4200"/>
    <w:rsid w:val="006E3CB3"/>
    <w:rsid w:val="006F1632"/>
    <w:rsid w:val="006F3310"/>
    <w:rsid w:val="00700DDF"/>
    <w:rsid w:val="007043FF"/>
    <w:rsid w:val="00704BDA"/>
    <w:rsid w:val="00715574"/>
    <w:rsid w:val="00727667"/>
    <w:rsid w:val="007409E8"/>
    <w:rsid w:val="00744078"/>
    <w:rsid w:val="00756B57"/>
    <w:rsid w:val="00761992"/>
    <w:rsid w:val="0076301F"/>
    <w:rsid w:val="00775E87"/>
    <w:rsid w:val="00776C47"/>
    <w:rsid w:val="00783069"/>
    <w:rsid w:val="00791DDA"/>
    <w:rsid w:val="0079372F"/>
    <w:rsid w:val="007A5A96"/>
    <w:rsid w:val="007D3EA1"/>
    <w:rsid w:val="007D4879"/>
    <w:rsid w:val="007D7033"/>
    <w:rsid w:val="007D71A4"/>
    <w:rsid w:val="00803DAD"/>
    <w:rsid w:val="00812EC9"/>
    <w:rsid w:val="008169C1"/>
    <w:rsid w:val="0083779C"/>
    <w:rsid w:val="0086678E"/>
    <w:rsid w:val="008677DA"/>
    <w:rsid w:val="008802A3"/>
    <w:rsid w:val="008906EE"/>
    <w:rsid w:val="00895F01"/>
    <w:rsid w:val="008A10D8"/>
    <w:rsid w:val="008B2B8F"/>
    <w:rsid w:val="008B50F9"/>
    <w:rsid w:val="008C1CD2"/>
    <w:rsid w:val="008D6C24"/>
    <w:rsid w:val="008D76C2"/>
    <w:rsid w:val="008E4D9E"/>
    <w:rsid w:val="008E6D2C"/>
    <w:rsid w:val="008E784D"/>
    <w:rsid w:val="00903CEC"/>
    <w:rsid w:val="0092544F"/>
    <w:rsid w:val="00925521"/>
    <w:rsid w:val="00933F59"/>
    <w:rsid w:val="0094661D"/>
    <w:rsid w:val="0095079A"/>
    <w:rsid w:val="009566E1"/>
    <w:rsid w:val="00956B7C"/>
    <w:rsid w:val="00974A99"/>
    <w:rsid w:val="009755CB"/>
    <w:rsid w:val="00991286"/>
    <w:rsid w:val="00996C40"/>
    <w:rsid w:val="009A2176"/>
    <w:rsid w:val="009A307F"/>
    <w:rsid w:val="009D0029"/>
    <w:rsid w:val="009D0398"/>
    <w:rsid w:val="009E3AEE"/>
    <w:rsid w:val="009F1BA5"/>
    <w:rsid w:val="00A065EB"/>
    <w:rsid w:val="00A23F49"/>
    <w:rsid w:val="00A25BA7"/>
    <w:rsid w:val="00A3183B"/>
    <w:rsid w:val="00A31CDE"/>
    <w:rsid w:val="00A31DD2"/>
    <w:rsid w:val="00A37DF8"/>
    <w:rsid w:val="00A76AF0"/>
    <w:rsid w:val="00A83819"/>
    <w:rsid w:val="00A83D9E"/>
    <w:rsid w:val="00A907B2"/>
    <w:rsid w:val="00AB5DDF"/>
    <w:rsid w:val="00AC068C"/>
    <w:rsid w:val="00AC1220"/>
    <w:rsid w:val="00AC1575"/>
    <w:rsid w:val="00AD0AC8"/>
    <w:rsid w:val="00AD2762"/>
    <w:rsid w:val="00AD370A"/>
    <w:rsid w:val="00AD6B80"/>
    <w:rsid w:val="00AE1E5C"/>
    <w:rsid w:val="00AE2132"/>
    <w:rsid w:val="00B05AE3"/>
    <w:rsid w:val="00B12A0C"/>
    <w:rsid w:val="00B150CF"/>
    <w:rsid w:val="00B16FAF"/>
    <w:rsid w:val="00B25885"/>
    <w:rsid w:val="00B27DD7"/>
    <w:rsid w:val="00B34D37"/>
    <w:rsid w:val="00B372B0"/>
    <w:rsid w:val="00B37AAA"/>
    <w:rsid w:val="00B44FC1"/>
    <w:rsid w:val="00B54967"/>
    <w:rsid w:val="00B629BD"/>
    <w:rsid w:val="00B63732"/>
    <w:rsid w:val="00B71DDE"/>
    <w:rsid w:val="00B740D1"/>
    <w:rsid w:val="00B75676"/>
    <w:rsid w:val="00B75960"/>
    <w:rsid w:val="00B764FD"/>
    <w:rsid w:val="00B770D7"/>
    <w:rsid w:val="00B92DDA"/>
    <w:rsid w:val="00B93A6F"/>
    <w:rsid w:val="00BA0EEA"/>
    <w:rsid w:val="00BB1A9F"/>
    <w:rsid w:val="00BC53EB"/>
    <w:rsid w:val="00BC5E50"/>
    <w:rsid w:val="00BD71DA"/>
    <w:rsid w:val="00BD73A9"/>
    <w:rsid w:val="00BE01B2"/>
    <w:rsid w:val="00BE2F20"/>
    <w:rsid w:val="00BE5334"/>
    <w:rsid w:val="00BF3BC3"/>
    <w:rsid w:val="00C0237A"/>
    <w:rsid w:val="00C0739A"/>
    <w:rsid w:val="00C1184B"/>
    <w:rsid w:val="00C27FA9"/>
    <w:rsid w:val="00C32295"/>
    <w:rsid w:val="00C35063"/>
    <w:rsid w:val="00C45B59"/>
    <w:rsid w:val="00C45FCF"/>
    <w:rsid w:val="00C515C2"/>
    <w:rsid w:val="00C67389"/>
    <w:rsid w:val="00C70DE1"/>
    <w:rsid w:val="00C90818"/>
    <w:rsid w:val="00C92EBB"/>
    <w:rsid w:val="00CA727C"/>
    <w:rsid w:val="00CB0FF3"/>
    <w:rsid w:val="00CB4A56"/>
    <w:rsid w:val="00CB4EE2"/>
    <w:rsid w:val="00CB5BCE"/>
    <w:rsid w:val="00CC5216"/>
    <w:rsid w:val="00CC5390"/>
    <w:rsid w:val="00CE091A"/>
    <w:rsid w:val="00CE5128"/>
    <w:rsid w:val="00CF1F5A"/>
    <w:rsid w:val="00CF7000"/>
    <w:rsid w:val="00CF7376"/>
    <w:rsid w:val="00D02D56"/>
    <w:rsid w:val="00D0576B"/>
    <w:rsid w:val="00D05B43"/>
    <w:rsid w:val="00D10F21"/>
    <w:rsid w:val="00D1697A"/>
    <w:rsid w:val="00D20B72"/>
    <w:rsid w:val="00D3112C"/>
    <w:rsid w:val="00D501FB"/>
    <w:rsid w:val="00D539DB"/>
    <w:rsid w:val="00D62DB2"/>
    <w:rsid w:val="00D63310"/>
    <w:rsid w:val="00D81B0B"/>
    <w:rsid w:val="00D834CA"/>
    <w:rsid w:val="00D852E8"/>
    <w:rsid w:val="00D86168"/>
    <w:rsid w:val="00D86884"/>
    <w:rsid w:val="00D940AA"/>
    <w:rsid w:val="00DB5110"/>
    <w:rsid w:val="00DB617C"/>
    <w:rsid w:val="00DD4A83"/>
    <w:rsid w:val="00DD586D"/>
    <w:rsid w:val="00DD5D2C"/>
    <w:rsid w:val="00DD7AD8"/>
    <w:rsid w:val="00DE0F31"/>
    <w:rsid w:val="00DE161D"/>
    <w:rsid w:val="00DE6332"/>
    <w:rsid w:val="00DF3327"/>
    <w:rsid w:val="00DF50AF"/>
    <w:rsid w:val="00DF690B"/>
    <w:rsid w:val="00DF7694"/>
    <w:rsid w:val="00E01C79"/>
    <w:rsid w:val="00E04DB4"/>
    <w:rsid w:val="00E052D0"/>
    <w:rsid w:val="00E069DC"/>
    <w:rsid w:val="00E152DF"/>
    <w:rsid w:val="00E1576D"/>
    <w:rsid w:val="00E174F7"/>
    <w:rsid w:val="00E21F0F"/>
    <w:rsid w:val="00E4196A"/>
    <w:rsid w:val="00E459FC"/>
    <w:rsid w:val="00E658C0"/>
    <w:rsid w:val="00E72B71"/>
    <w:rsid w:val="00E86561"/>
    <w:rsid w:val="00E92ADA"/>
    <w:rsid w:val="00EA2087"/>
    <w:rsid w:val="00EC5D7F"/>
    <w:rsid w:val="00EE1EEB"/>
    <w:rsid w:val="00EF5EEE"/>
    <w:rsid w:val="00EF60BE"/>
    <w:rsid w:val="00F053BE"/>
    <w:rsid w:val="00F1204C"/>
    <w:rsid w:val="00F31B9C"/>
    <w:rsid w:val="00F35B4E"/>
    <w:rsid w:val="00F5113C"/>
    <w:rsid w:val="00F527CD"/>
    <w:rsid w:val="00F54BBA"/>
    <w:rsid w:val="00F55F72"/>
    <w:rsid w:val="00F55F92"/>
    <w:rsid w:val="00F57B58"/>
    <w:rsid w:val="00F609A3"/>
    <w:rsid w:val="00F60B89"/>
    <w:rsid w:val="00F612F6"/>
    <w:rsid w:val="00F64ABC"/>
    <w:rsid w:val="00F675A5"/>
    <w:rsid w:val="00F90F59"/>
    <w:rsid w:val="00F97321"/>
    <w:rsid w:val="00F97598"/>
    <w:rsid w:val="00F97A65"/>
    <w:rsid w:val="00FA1E7F"/>
    <w:rsid w:val="00FA3CD5"/>
    <w:rsid w:val="00FB462E"/>
    <w:rsid w:val="00FB521B"/>
    <w:rsid w:val="00FC1DC7"/>
    <w:rsid w:val="00FD6CE5"/>
    <w:rsid w:val="00FE5FAF"/>
    <w:rsid w:val="00FE6162"/>
    <w:rsid w:val="00FF6576"/>
    <w:rsid w:val="3F7F2695"/>
    <w:rsid w:val="4B7F5109"/>
    <w:rsid w:val="56FD2703"/>
    <w:rsid w:val="62FE257C"/>
    <w:rsid w:val="73EFFD57"/>
    <w:rsid w:val="763EA9AB"/>
    <w:rsid w:val="8E3E3353"/>
    <w:rsid w:val="BF5E7553"/>
    <w:rsid w:val="CDF3447A"/>
    <w:rsid w:val="E6FB8D48"/>
    <w:rsid w:val="E7EE42E1"/>
    <w:rsid w:val="EC7FFEA3"/>
    <w:rsid w:val="FCFF5043"/>
    <w:rsid w:val="FDF769DB"/>
    <w:rsid w:val="FDFBB613"/>
    <w:rsid w:val="FE37E00F"/>
    <w:rsid w:val="FEB98426"/>
    <w:rsid w:val="FF47A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semiHidden/>
    <w:unhideWhenUsed/>
    <w:uiPriority w:val="99"/>
    <w:rPr>
      <w:vertAlign w:val="superscript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脚注文本 字符"/>
    <w:basedOn w:val="8"/>
    <w:link w:val="5"/>
    <w:semiHidden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semiHidden/>
    <w:uiPriority w:val="99"/>
    <w:rPr>
      <w:sz w:val="18"/>
      <w:szCs w:val="18"/>
    </w:rPr>
  </w:style>
  <w:style w:type="table" w:customStyle="1" w:styleId="15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未处理的提及2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695</Words>
  <Characters>3962</Characters>
  <Lines>33</Lines>
  <Paragraphs>9</Paragraphs>
  <TotalTime>4</TotalTime>
  <ScaleCrop>false</ScaleCrop>
  <LinksUpToDate>false</LinksUpToDate>
  <CharactersWithSpaces>4648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2024-02-01T01:33:00Z</dcterms:created>
  <dc:creator>zyc</dc:creator>
  <cp:lastModifiedBy>XJJ</cp:lastModifiedBy>
  <cp:lastPrinted>2022-04-24T08:37:00Z</cp:lastPrinted>
  <dcterms:modified xsi:type="dcterms:W3CDTF">2024-02-06T15:02:09Z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A8CF4208EC901F8171D9C1653FA42A71_43</vt:lpwstr>
  </property>
</Properties>
</file>